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0"/>
        <w:spacing w:before="317"/>
      </w:pPr>
      <w:r/>
      <w:r/>
    </w:p>
    <w:p>
      <w:pPr>
        <w:ind w:left="0" w:right="0" w:firstLine="0"/>
        <w:jc w:val="center"/>
        <w:spacing w:before="0" w:line="322" w:lineRule="exact"/>
        <w:rPr>
          <w:b/>
          <w:sz w:val="28"/>
        </w:rPr>
      </w:pPr>
      <w:r/>
      <w:bookmarkStart w:id="0" w:name="undefined"/>
      <w:r/>
      <w:bookmarkEnd w:id="0"/>
      <w:r>
        <w:rPr>
          <w:b/>
          <w:sz w:val="28"/>
        </w:rPr>
      </w:r>
      <w:r>
        <w:rPr>
          <w:b/>
          <w:sz w:val="28"/>
        </w:rPr>
      </w:r>
    </w:p>
    <w:p>
      <w:pPr>
        <w:ind w:left="135" w:right="0" w:firstLine="0"/>
        <w:jc w:val="center"/>
        <w:spacing w:before="0"/>
        <w:rPr>
          <w:b/>
          <w:sz w:val="28"/>
        </w:rPr>
      </w:pPr>
      <w:r>
        <w:rPr>
          <w:b/>
          <w:sz w:val="28"/>
        </w:rPr>
        <w:t xml:space="preserve">Лист оценивания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заявки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конкурса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134" w:right="0" w:firstLine="0"/>
        <w:jc w:val="center"/>
        <w:spacing w:before="0"/>
        <w:rPr>
          <w:b/>
          <w:sz w:val="28"/>
        </w:rPr>
      </w:pPr>
      <w:r>
        <w:rPr>
          <w:b/>
          <w:sz w:val="28"/>
        </w:rPr>
        <w:t xml:space="preserve">«Молодежная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столица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Новосибирской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области»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2"/>
        <w:ind w:left="0"/>
        <w:spacing w:before="58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1561211</wp:posOffset>
                </wp:positionH>
                <wp:positionV relativeFrom="paragraph">
                  <wp:posOffset>198694</wp:posOffset>
                </wp:positionV>
                <wp:extent cx="4972685" cy="1270"/>
                <wp:effectExtent l="0" t="0" r="0" b="0"/>
                <wp:wrapTopAndBottom/>
                <wp:docPr id="1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972684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685" h="0" fill="norm" stroke="1" extrusionOk="0">
                              <a:moveTo>
                                <a:pt x="0" y="0"/>
                              </a:moveTo>
                              <a:lnTo>
                                <a:pt x="4972580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9376;o:allowoverlap:true;o:allowincell:true;mso-position-horizontal-relative:page;margin-left:122.93pt;mso-position-horizontal:absolute;mso-position-vertical-relative:text;margin-top:15.65pt;mso-position-vertical:absolute;width:391.55pt;height:0.10pt;mso-wrap-distance-left:0.00pt;mso-wrap-distance-top:0.00pt;mso-wrap-distance-right:0.00pt;mso-wrap-distance-bottom:0.00pt;visibility:visible;" path="m0,0l99998,0e" coordsize="100000,100000" filled="f" strokecolor="#000000" strokeweight="0.8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45" w:right="0" w:firstLine="0"/>
        <w:jc w:val="center"/>
        <w:spacing w:before="0"/>
        <w:rPr>
          <w:i/>
          <w:sz w:val="24"/>
        </w:rPr>
      </w:pPr>
      <w:r>
        <w:rPr>
          <w:i/>
          <w:sz w:val="24"/>
        </w:rPr>
        <w:t xml:space="preserve">(муниципальный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район/городской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округ)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872"/>
        <w:ind w:left="0"/>
        <w:spacing w:before="103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335"/>
        <w:gridCol w:w="4442"/>
        <w:gridCol w:w="454"/>
        <w:gridCol w:w="182"/>
        <w:gridCol w:w="182"/>
        <w:gridCol w:w="272"/>
        <w:gridCol w:w="562"/>
      </w:tblGrid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873"/>
              <w:ind w:left="885"/>
              <w:spacing w:line="24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Критерий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right="180"/>
              <w:jc w:val="center"/>
              <w:spacing w:line="24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ind w:left="373"/>
              <w:spacing w:line="24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Баллы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pStyle w:val="873"/>
              <w:ind w:left="50" w:right="107"/>
              <w:spacing w:line="242" w:lineRule="auto"/>
              <w:tabs>
                <w:tab w:val="left" w:pos="2679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1. Содержательность</w:t>
              <w:tab/>
            </w:r>
            <w:r>
              <w:rPr>
                <w:spacing w:val="-10"/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проработанность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ind w:left="50" w:right="108"/>
              <w:spacing w:line="242" w:lineRule="auto"/>
              <w:tabs>
                <w:tab w:val="left" w:pos="1460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мероприятий Молодежной столицы </w:t>
            </w:r>
            <w:r>
              <w:rPr>
                <w:sz w:val="24"/>
              </w:rPr>
              <w:t xml:space="preserve">на 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0"/>
              <w:jc w:val="left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1.1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Мероприятия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разных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направлений ГМП</w:t>
            </w:r>
            <w:r>
              <w:rPr>
                <w:spacing w:val="-2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</w:rPr>
              <w:t xml:space="preserve">2 балла - 4 направления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4 балла - 6 направлений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none"/>
              </w:rPr>
              <w:t xml:space="preserve">6 баллов - 8 направлений и более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pPr>
              <w:pStyle w:val="873"/>
              <w:ind w:left="50" w:right="107"/>
              <w:spacing w:line="242" w:lineRule="auto"/>
              <w:tabs>
                <w:tab w:val="left" w:pos="2679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0" w:right="162"/>
              <w:jc w:val="left"/>
              <w:spacing w:line="274" w:lineRule="exact"/>
              <w:tabs>
                <w:tab w:val="left" w:pos="175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 1.2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Мероприятия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разного</w:t>
            </w:r>
            <w:r>
              <w:rPr>
                <w:sz w:val="24"/>
                <w:szCs w:val="24"/>
              </w:rPr>
              <w:t xml:space="preserve"> уровня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873"/>
              <w:ind w:left="0" w:right="162"/>
              <w:jc w:val="left"/>
              <w:spacing w:line="274" w:lineRule="exact"/>
              <w:tabs>
                <w:tab w:val="left" w:pos="175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(региональные, межмуниципальные, муниципальные);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 xml:space="preserve">2 балла – только муниципальные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4 – балла муниципальные и межмуниципальные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none"/>
              </w:rPr>
              <w:t xml:space="preserve">6 баллов - </w:t>
            </w:r>
            <w:r>
              <w:rPr>
                <w:sz w:val="16"/>
                <w:szCs w:val="16"/>
                <w:highlight w:val="none"/>
              </w:rPr>
              <w:t xml:space="preserve">муниципальные, межмуниципальные и региональны</w:t>
            </w:r>
            <w:r>
              <w:rPr>
                <w:sz w:val="16"/>
                <w:szCs w:val="16"/>
              </w:rPr>
              <w:t xml:space="preserve">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0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1.3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Уникальность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мероприятий;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от 1 до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1.4. Межведомственный характер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</w:rPr>
              <w:t xml:space="preserve"> 2 балла - 2 сферы задействованы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4 балла - 4 сферы задействованы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6 баллов - 6 и более сфер задействовано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/>
            <w:r/>
          </w:p>
        </w:tc>
      </w:tr>
      <w:tr>
        <w:tblPrEx/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Наличие инфраструктуры молодежной политики и возможностей для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105" w:right="89"/>
              <w:jc w:val="left"/>
              <w:spacing w:line="242" w:lineRule="auto"/>
              <w:tabs>
                <w:tab w:val="left" w:pos="1410" w:leader="none"/>
                <w:tab w:val="left" w:pos="1928" w:leader="none"/>
                <w:tab w:val="left" w:pos="2283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2.1 Наличие молодежного центра на территории муниципального образования;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105" w:right="89"/>
              <w:jc w:val="left"/>
              <w:spacing w:line="242" w:lineRule="auto"/>
              <w:tabs>
                <w:tab w:val="left" w:pos="1410" w:leader="none"/>
                <w:tab w:val="left" w:pos="1928" w:leader="none"/>
                <w:tab w:val="left" w:pos="2283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2.2 Наличие «третьих мест»;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0" w:right="89"/>
              <w:jc w:val="left"/>
              <w:spacing w:line="242" w:lineRule="auto"/>
              <w:tabs>
                <w:tab w:val="left" w:pos="1410" w:leader="none"/>
                <w:tab w:val="left" w:pos="1928" w:leader="none"/>
                <w:tab w:val="left" w:pos="2283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2.3 Иные площадки для молодежи в структуре молодежной политики.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pStyle w:val="873"/>
              <w:ind w:left="50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Туристическая привлекательность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3.1 </w:t>
            </w:r>
            <w:r>
              <w:rPr>
                <w:sz w:val="24"/>
              </w:rPr>
              <w:t xml:space="preserve">Уникальные</w:t>
            </w:r>
            <w:r>
              <w:rPr>
                <w:sz w:val="24"/>
              </w:rPr>
              <w:t xml:space="preserve"> традиции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муниципального образования;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от 1 до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rPr>
                <w:sz w:val="20"/>
              </w:rPr>
            </w:pPr>
            <w:r>
              <w:rPr>
                <w:sz w:val="24"/>
                <w:szCs w:val="24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pPr>
              <w:pStyle w:val="873"/>
              <w:ind w:left="50"/>
              <w:spacing w:line="256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 Наличие символа Молодежной столицы (предложение);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rPr>
                <w:sz w:val="20"/>
              </w:rPr>
            </w:pPr>
            <w:r>
              <w:rPr>
                <w:sz w:val="24"/>
                <w:szCs w:val="24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3.3 Наличие структуры, отвечающей за развитие туристической деятельности на территории муниципального образования.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pStyle w:val="873"/>
              <w:ind w:left="50"/>
              <w:jc w:val="left"/>
              <w:spacing w:line="270" w:lineRule="exact"/>
              <w:tabs>
                <w:tab w:val="left" w:pos="1916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Реалистичность, </w:t>
            </w:r>
            <w:r>
              <w:rPr>
                <w:spacing w:val="-2"/>
                <w:sz w:val="24"/>
                <w:szCs w:val="24"/>
              </w:rPr>
              <w:t xml:space="preserve">исполнимость </w:t>
            </w:r>
            <w:r>
              <w:rPr>
                <w:spacing w:val="-2"/>
                <w:sz w:val="24"/>
                <w:szCs w:val="24"/>
              </w:rPr>
              <w:t xml:space="preserve">намеченных</w:t>
            </w:r>
            <w:r>
              <w:rPr>
                <w:spacing w:val="-2"/>
                <w:sz w:val="24"/>
                <w:szCs w:val="24"/>
              </w:rPr>
              <w:t xml:space="preserve"> планов,</w:t>
            </w:r>
            <w:r>
              <w:rPr>
                <w:spacing w:val="-10"/>
                <w:sz w:val="24"/>
                <w:szCs w:val="24"/>
              </w:rPr>
              <w:t xml:space="preserve"> а </w:t>
            </w:r>
            <w:r>
              <w:rPr>
                <w:sz w:val="24"/>
              </w:rPr>
              <w:t xml:space="preserve">именно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наличие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ресурсов, </w:t>
            </w:r>
            <w:r>
              <w:rPr>
                <w:spacing w:val="-4"/>
                <w:sz w:val="24"/>
                <w:szCs w:val="24"/>
              </w:rPr>
              <w:t xml:space="preserve">опыта</w:t>
            </w:r>
            <w:r>
              <w:rPr>
                <w:spacing w:val="-2"/>
                <w:sz w:val="24"/>
                <w:szCs w:val="24"/>
              </w:rPr>
              <w:t xml:space="preserve"> команд</w:t>
            </w:r>
            <w:r>
              <w:rPr>
                <w:spacing w:val="-10"/>
                <w:sz w:val="24"/>
                <w:szCs w:val="24"/>
              </w:rPr>
              <w:t xml:space="preserve"> в </w:t>
            </w:r>
            <w:r>
              <w:rPr>
                <w:spacing w:val="-2"/>
                <w:sz w:val="24"/>
                <w:szCs w:val="24"/>
              </w:rPr>
              <w:t xml:space="preserve">проведении</w:t>
            </w:r>
            <w:r>
              <w:rPr>
                <w:spacing w:val="-2"/>
                <w:sz w:val="24"/>
                <w:szCs w:val="24"/>
              </w:rPr>
              <w:t xml:space="preserve"> крупных </w:t>
            </w:r>
            <w:r>
              <w:rPr>
                <w:sz w:val="24"/>
              </w:rPr>
              <w:t xml:space="preserve">событий</w:t>
            </w:r>
            <w:r>
              <w:rPr>
                <w:sz w:val="24"/>
              </w:rPr>
              <w:t xml:space="preserve"> федерального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</w:rPr>
              <w:t xml:space="preserve">регионального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уровней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4.1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Финансирование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(процент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общего </w:t>
            </w:r>
            <w:r>
              <w:rPr>
                <w:spacing w:val="-2"/>
                <w:sz w:val="24"/>
                <w:szCs w:val="24"/>
              </w:rPr>
              <w:t xml:space="preserve">бюджета</w:t>
            </w:r>
            <w:r>
              <w:rPr>
                <w:spacing w:val="-2"/>
                <w:sz w:val="24"/>
                <w:szCs w:val="24"/>
              </w:rPr>
              <w:t xml:space="preserve"> муниципального образования,</w:t>
            </w:r>
            <w:r>
              <w:rPr>
                <w:spacing w:val="-2"/>
                <w:sz w:val="24"/>
                <w:szCs w:val="24"/>
              </w:rPr>
              <w:t xml:space="preserve"> выделяемый</w:t>
            </w:r>
            <w:r>
              <w:rPr>
                <w:spacing w:val="-5"/>
                <w:sz w:val="24"/>
                <w:szCs w:val="24"/>
              </w:rPr>
              <w:t xml:space="preserve"> на </w:t>
            </w:r>
            <w:r>
              <w:rPr>
                <w:sz w:val="24"/>
              </w:rPr>
              <w:t xml:space="preserve">реализацию молодежной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политики);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от 1 до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317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4.2 </w:t>
            </w:r>
            <w:r>
              <w:rPr>
                <w:sz w:val="24"/>
              </w:rPr>
              <w:t xml:space="preserve">Участники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команды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муниципального образования, </w:t>
            </w:r>
            <w:r>
              <w:rPr>
                <w:sz w:val="24"/>
              </w:rPr>
              <w:t xml:space="preserve">опыт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2"/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от 1 до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873"/>
              <w:ind w:left="50"/>
              <w:jc w:val="left"/>
              <w:spacing w:line="270" w:lineRule="exact"/>
              <w:tabs>
                <w:tab w:val="left" w:pos="1916" w:leader="none"/>
              </w:tabs>
              <w:rPr>
                <w:spacing w:val="-4"/>
                <w:sz w:val="24"/>
                <w:szCs w:val="24"/>
                <w14:ligatures w14:val="none"/>
              </w:rPr>
            </w:pPr>
            <w:r>
              <w:rPr>
                <w:spacing w:val="-4"/>
                <w:sz w:val="24"/>
                <w:szCs w:val="24"/>
              </w:rPr>
              <w:t xml:space="preserve">5.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Масштаб</w:t>
            </w:r>
            <w:r>
              <w:rPr>
                <w:spacing w:val="-4"/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 xml:space="preserve">информационная</w:t>
            </w:r>
            <w:r>
              <w:rPr>
                <w:spacing w:val="-4"/>
                <w:sz w:val="24"/>
                <w:szCs w:val="24"/>
                <w14:ligatures w14:val="none"/>
              </w:rPr>
            </w:r>
            <w:r>
              <w:rPr>
                <w:spacing w:val="-4"/>
                <w:sz w:val="24"/>
                <w:szCs w:val="24"/>
                <w14:ligatures w14:val="none"/>
              </w:rPr>
            </w:r>
          </w:p>
          <w:p>
            <w:pPr>
              <w:pStyle w:val="873"/>
              <w:ind w:left="50"/>
              <w:jc w:val="left"/>
              <w:spacing w:line="270" w:lineRule="exact"/>
              <w:tabs>
                <w:tab w:val="left" w:pos="1916" w:leader="none"/>
              </w:tabs>
              <w:rPr>
                <w:spacing w:val="-4"/>
                <w:sz w:val="24"/>
                <w:szCs w:val="24"/>
                <w14:ligatures w14:val="none"/>
              </w:rPr>
            </w:pPr>
            <w:r>
              <w:rPr>
                <w:spacing w:val="-4"/>
                <w:sz w:val="24"/>
                <w:szCs w:val="24"/>
              </w:rPr>
              <w:t xml:space="preserve">открытость</w:t>
            </w:r>
            <w:r>
              <w:rPr>
                <w:spacing w:val="-4"/>
                <w:sz w:val="24"/>
                <w:szCs w:val="24"/>
              </w:rPr>
              <w:t xml:space="preserve">  при </w:t>
            </w:r>
            <w:r>
              <w:rPr>
                <w:spacing w:val="-4"/>
                <w:sz w:val="24"/>
                <w:szCs w:val="24"/>
              </w:rPr>
              <w:t xml:space="preserve">подготовке</w:t>
            </w:r>
            <w:r>
              <w:rPr>
                <w:spacing w:val="-4"/>
                <w:sz w:val="24"/>
                <w:szCs w:val="24"/>
              </w:rPr>
              <w:t xml:space="preserve"> заявки, </w:t>
            </w:r>
            <w:r>
              <w:rPr>
                <w:spacing w:val="-4"/>
                <w:sz w:val="24"/>
                <w:szCs w:val="24"/>
              </w:rPr>
              <w:t xml:space="preserve">заинтересованность и </w:t>
            </w:r>
            <w:r>
              <w:rPr>
                <w:spacing w:val="-4"/>
                <w:sz w:val="24"/>
                <w:szCs w:val="24"/>
              </w:rPr>
              <w:t xml:space="preserve">вовлечение</w:t>
            </w:r>
            <w:r>
              <w:rPr>
                <w:spacing w:val="-4"/>
                <w:sz w:val="24"/>
                <w:szCs w:val="24"/>
              </w:rPr>
              <w:t xml:space="preserve"> партнеров к разработке </w:t>
            </w:r>
            <w:r>
              <w:rPr>
                <w:spacing w:val="-4"/>
                <w:sz w:val="24"/>
                <w:szCs w:val="24"/>
              </w:rPr>
              <w:t xml:space="preserve">заявки</w:t>
            </w:r>
            <w:r>
              <w:rPr>
                <w:spacing w:val="-4"/>
                <w:sz w:val="24"/>
                <w:szCs w:val="24"/>
                <w14:ligatures w14:val="none"/>
              </w:rPr>
            </w:r>
            <w:r>
              <w:rPr>
                <w:spacing w:val="-4"/>
                <w:sz w:val="24"/>
                <w:szCs w:val="24"/>
                <w14:ligatures w14:val="none"/>
              </w:rPr>
            </w:r>
          </w:p>
          <w:p>
            <w:pPr>
              <w:pStyle w:val="873"/>
              <w:ind w:left="50"/>
              <w:spacing w:line="256" w:lineRule="exact"/>
              <w:tabs>
                <w:tab w:val="left" w:pos="1613" w:leader="none"/>
                <w:tab w:val="left" w:pos="2701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Наличие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партнеров,</w:t>
            </w:r>
            <w:r>
              <w:rPr>
                <w:spacing w:val="-2"/>
                <w:sz w:val="24"/>
                <w:szCs w:val="24"/>
              </w:rPr>
              <w:t xml:space="preserve"> поддерживающих </w:t>
            </w:r>
            <w:r>
              <w:rPr>
                <w:sz w:val="24"/>
              </w:rPr>
              <w:t xml:space="preserve">мероприятия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 xml:space="preserve">молодежи;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ind w:left="105"/>
              <w:jc w:val="left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</w:rPr>
              <w:t xml:space="preserve">1 балл – муниципальные и государственные  структуры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73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2 балла – муниципальные, государственные и бизнес структуры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highlight w:val="none"/>
              </w:rPr>
              <w:t xml:space="preserve">6 баллов - </w:t>
            </w:r>
            <w:r>
              <w:rPr>
                <w:sz w:val="20"/>
                <w:highlight w:val="none"/>
              </w:rPr>
              <w:t xml:space="preserve">муниципальные, государственные и бизнес структуры</w:t>
            </w:r>
            <w:r>
              <w:rPr>
                <w:sz w:val="20"/>
                <w:highlight w:val="none"/>
              </w:rPr>
              <w:t xml:space="preserve"> с финансовой поддержкой (гарантийное письмо)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pStyle w:val="873"/>
              <w:ind w:left="50"/>
              <w:jc w:val="left"/>
              <w:spacing w:line="270" w:lineRule="exact"/>
              <w:tabs>
                <w:tab w:val="left" w:pos="1916" w:leader="none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5.2 Наличие СМИ, сотрудничающих 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ind w:left="105"/>
              <w:jc w:val="left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органами молодежной политики;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pStyle w:val="87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1/0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pStyle w:val="873"/>
              <w:ind w:left="105"/>
              <w:jc w:val="left"/>
              <w:spacing w:line="270" w:lineRule="exact"/>
              <w:tabs>
                <w:tab w:val="left" w:pos="2852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5.3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Муниципальная</w:t>
            </w:r>
            <w:r>
              <w:rPr>
                <w:spacing w:val="-2"/>
                <w:sz w:val="24"/>
                <w:szCs w:val="24"/>
              </w:rPr>
              <w:t xml:space="preserve"> инфраструктура,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ind w:left="105"/>
              <w:jc w:val="left"/>
              <w:spacing w:before="2" w:line="260" w:lineRule="exact"/>
              <w:rPr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</w:rPr>
              <w:t xml:space="preserve">задействованная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проведения </w:t>
            </w:r>
            <w:r>
              <w:rPr>
                <w:sz w:val="24"/>
              </w:rPr>
              <w:t xml:space="preserve">молодежных мероприятий;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1 балл – инфраструктура только сферы молодежной политики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2 балла –инфраструктура 2 сфер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3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4 балла – инфраструктура 3 сфер и более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5.4 Разнообразие контента по мероприятиям сферы молодежной политики (видео, фото, баннеры, подкасты);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от 1 до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Видеовизитка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6.1 Соответствие видеовизитки техническим требованиям и информативность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1 балл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pStyle w:val="873"/>
        <w:spacing w:after="0"/>
        <w:rPr>
          <w:sz w:val="18"/>
          <w:szCs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873"/>
        <w:spacing w:after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729"/>
        <w:gridCol w:w="1701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29" w:type="dxa"/>
            <w:textDirection w:val="lrTb"/>
            <w:noWrap w:val="false"/>
          </w:tcPr>
          <w:p>
            <w:pPr>
              <w:pStyle w:val="873"/>
              <w:ind w:left="50"/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Итоговая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сумма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73"/>
              <w:rPr>
                <w:sz w:val="18"/>
              </w:rPr>
            </w:pPr>
            <w:r>
              <w:rPr>
                <w:sz w:val="24"/>
                <w:szCs w:val="24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872"/>
        <w:ind w:left="0"/>
        <w:spacing w:before="23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872"/>
        <w:tabs>
          <w:tab w:val="left" w:pos="3941" w:leader="none"/>
          <w:tab w:val="left" w:pos="6877" w:leader="none"/>
          <w:tab w:val="left" w:pos="9464" w:leader="none"/>
        </w:tabs>
      </w:pPr>
      <w:r>
        <w:t xml:space="preserve">Член</w:t>
      </w:r>
      <w:r>
        <w:rPr>
          <w:spacing w:val="-3"/>
        </w:rPr>
        <w:t xml:space="preserve"> </w:t>
      </w:r>
      <w:r>
        <w:rPr>
          <w:spacing w:val="-4"/>
        </w:rPr>
        <w:t xml:space="preserve">жюри</w:t>
      </w:r>
      <w:r>
        <w:rPr>
          <w:u w:val="single"/>
        </w:rPr>
        <w:t xml:space="preserve">   </w:t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/>
      <w:r/>
    </w:p>
    <w:p>
      <w:pPr>
        <w:ind w:left="55" w:right="0" w:firstLine="0"/>
        <w:jc w:val="center"/>
        <w:spacing w:before="2"/>
        <w:tabs>
          <w:tab w:val="left" w:pos="2768" w:leader="none"/>
          <w:tab w:val="left" w:pos="5797" w:leader="none"/>
        </w:tabs>
        <w:rPr>
          <w:i/>
          <w:sz w:val="20"/>
        </w:rPr>
      </w:pPr>
      <w:r>
        <w:rPr>
          <w:i/>
          <w:spacing w:val="-2"/>
          <w:sz w:val="20"/>
        </w:rPr>
        <w:t xml:space="preserve">                  (подпись)</w:t>
      </w:r>
      <w:r>
        <w:rPr>
          <w:i/>
          <w:sz w:val="20"/>
        </w:rPr>
        <w:tab/>
      </w:r>
      <w:r>
        <w:rPr>
          <w:i/>
          <w:spacing w:val="-4"/>
          <w:sz w:val="20"/>
        </w:rPr>
        <w:t xml:space="preserve">(ФИО)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(дата)</w:t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872"/>
        <w:ind w:left="0"/>
        <w:spacing w:before="67" w:line="322" w:lineRule="exact"/>
      </w:pPr>
      <w:r/>
      <w:r/>
      <w:r/>
    </w:p>
    <w:p>
      <w:pPr>
        <w:pStyle w:val="873"/>
        <w:spacing w:after="0"/>
        <w:rPr>
          <w:sz w:val="18"/>
          <w:szCs w:val="18"/>
        </w:rPr>
        <w:sectPr>
          <w:footnotePr/>
          <w:endnotePr/>
          <w:type w:val="nextPage"/>
          <w:pgSz w:w="11910" w:h="16840" w:orient="portrait"/>
          <w:pgMar w:top="1040" w:right="425" w:bottom="976" w:left="1133" w:header="709" w:footer="709" w:gutter="0"/>
          <w:cols w:num="1" w:sep="0" w:space="1701" w:equalWidth="1"/>
          <w:docGrid w:linePitch="360"/>
        </w:sectPr>
      </w:pPr>
      <w:r>
        <w:rPr>
          <w:sz w:val="24"/>
          <w:szCs w:val="24"/>
        </w:rPr>
      </w:r>
      <w:r>
        <w:rPr>
          <w:sz w:val="18"/>
        </w:rPr>
      </w:r>
      <w:r>
        <w:rPr>
          <w:sz w:val="18"/>
          <w:szCs w:val="18"/>
        </w:rPr>
      </w:r>
    </w:p>
    <w:p>
      <w:r/>
    </w:p>
    <w:sectPr>
      <w:footnotePr/>
      <w:endnotePr/>
      <w:type w:val="nextPage"/>
      <w:pgSz w:w="11906" w:h="16838" w:orient="portrait"/>
      <w:pgMar w:top="1134" w:right="70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4201" w:hanging="2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882" w:hanging="25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565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248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931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614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297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0" w:hanging="25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upperRoman"/>
      <w:isLgl w:val="false"/>
      <w:suff w:val="tab"/>
      <w:lvlText w:val="%2."/>
      <w:lvlJc w:val="left"/>
      <w:pPr>
        <w:ind w:left="4201" w:hanging="2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882" w:hanging="25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565" w:hanging="25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248" w:hanging="25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931" w:hanging="25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614" w:hanging="25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297" w:hanging="25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0" w:hanging="25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283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)"/>
      <w:lvlJc w:val="left"/>
      <w:pPr>
        <w:ind w:left="130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10" w:hanging="3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15" w:hanging="3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20" w:hanging="3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30" w:hanging="3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35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4"/>
    <w:next w:val="854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4"/>
    <w:next w:val="8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56"/>
    <w:link w:val="85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6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6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6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6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4"/>
    <w:next w:val="854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4"/>
    <w:next w:val="854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68"/>
    <w:uiPriority w:val="99"/>
  </w:style>
  <w:style w:type="character" w:styleId="709">
    <w:name w:val="Footer Char"/>
    <w:basedOn w:val="856"/>
    <w:link w:val="870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0"/>
    <w:uiPriority w:val="99"/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5">
    <w:name w:val="Heading 3"/>
    <w:basedOn w:val="854"/>
    <w:next w:val="854"/>
    <w:link w:val="859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3 Знак"/>
    <w:basedOn w:val="856"/>
    <w:link w:val="85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0">
    <w:name w:val="List Paragraph"/>
    <w:basedOn w:val="854"/>
    <w:qFormat/>
    <w:pPr>
      <w:contextualSpacing/>
      <w:ind w:left="720"/>
    </w:pPr>
  </w:style>
  <w:style w:type="paragraph" w:styleId="861">
    <w:name w:val="Balloon Text"/>
    <w:basedOn w:val="854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6"/>
    <w:link w:val="8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3">
    <w:name w:val="Hyperlink"/>
    <w:unhideWhenUsed/>
    <w:rPr>
      <w:color w:val="0000ff"/>
      <w:u w:val="single"/>
    </w:rPr>
  </w:style>
  <w:style w:type="paragraph" w:styleId="864" w:customStyle="1">
    <w:name w:val="Содержимое таблицы"/>
    <w:basedOn w:val="854"/>
    <w:qFormat/>
    <w:pPr>
      <w:widowControl w:val="off"/>
      <w:suppressLineNumbers/>
    </w:pPr>
  </w:style>
  <w:style w:type="paragraph" w:styleId="865">
    <w:name w:val="Body Text Indent 2"/>
    <w:basedOn w:val="854"/>
    <w:link w:val="866"/>
    <w:semiHidden/>
    <w:pPr>
      <w:ind w:firstLine="709"/>
      <w:jc w:val="both"/>
      <w:spacing w:line="360" w:lineRule="auto"/>
    </w:pPr>
    <w:rPr>
      <w:sz w:val="28"/>
      <w:szCs w:val="24"/>
    </w:rPr>
  </w:style>
  <w:style w:type="character" w:styleId="866" w:customStyle="1">
    <w:name w:val="Основной текст с отступом 2 Знак"/>
    <w:basedOn w:val="856"/>
    <w:link w:val="86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67">
    <w:name w:val="Table Grid"/>
    <w:basedOn w:val="8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Header"/>
    <w:basedOn w:val="854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6"/>
    <w:link w:val="86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0">
    <w:name w:val="Footer"/>
    <w:basedOn w:val="854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6"/>
    <w:link w:val="87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2" w:customStyle="1">
    <w:name w:val="Body Text"/>
    <w:basedOn w:val="867"/>
    <w:uiPriority w:val="1"/>
    <w:qFormat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3" w:customStyle="1">
    <w:name w:val="Table Paragraph"/>
    <w:basedOn w:val="86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revision>23</cp:revision>
  <dcterms:created xsi:type="dcterms:W3CDTF">2024-10-04T03:13:00Z</dcterms:created>
  <dcterms:modified xsi:type="dcterms:W3CDTF">2025-08-06T07:58:13Z</dcterms:modified>
</cp:coreProperties>
</file>